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99" w:rsidRPr="000B03AC" w:rsidRDefault="00020E99" w:rsidP="00020E99">
      <w:pPr>
        <w:ind w:right="-81"/>
        <w:rPr>
          <w:rFonts w:ascii="Bookman Old Style" w:hAnsi="Bookman Old Style"/>
          <w:sz w:val="22"/>
          <w:szCs w:val="22"/>
        </w:rPr>
      </w:pPr>
      <w:r>
        <w:rPr>
          <w:rFonts w:ascii="Bookman Old Style" w:hAnsi="Bookman Old Style"/>
          <w:b/>
          <w:sz w:val="22"/>
          <w:szCs w:val="22"/>
        </w:rPr>
        <w:t>PROCESSO ADMINISTRATIVO Nº 002</w:t>
      </w:r>
      <w:r w:rsidRPr="000B03AC">
        <w:rPr>
          <w:rFonts w:ascii="Bookman Old Style" w:hAnsi="Bookman Old Style"/>
          <w:b/>
          <w:sz w:val="22"/>
          <w:szCs w:val="22"/>
        </w:rPr>
        <w:t>/</w:t>
      </w:r>
      <w:r>
        <w:rPr>
          <w:rFonts w:ascii="Bookman Old Style" w:hAnsi="Bookman Old Style"/>
          <w:b/>
          <w:sz w:val="22"/>
          <w:szCs w:val="22"/>
        </w:rPr>
        <w:t>2014</w:t>
      </w:r>
      <w:r w:rsidRPr="000B03AC">
        <w:rPr>
          <w:rFonts w:ascii="Bookman Old Style" w:hAnsi="Bookman Old Style"/>
          <w:b/>
          <w:sz w:val="22"/>
          <w:szCs w:val="22"/>
        </w:rPr>
        <w:t>-CPL</w:t>
      </w:r>
      <w:r w:rsidRPr="000B03AC">
        <w:rPr>
          <w:rFonts w:ascii="Bookman Old Style" w:hAnsi="Bookman Old Style"/>
          <w:sz w:val="22"/>
          <w:szCs w:val="22"/>
        </w:rPr>
        <w:t xml:space="preserve"> </w:t>
      </w:r>
    </w:p>
    <w:p w:rsidR="00020E99" w:rsidRPr="000B03AC" w:rsidRDefault="00020E99" w:rsidP="00020E99">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002</w:t>
      </w:r>
      <w:r w:rsidRPr="000B03AC">
        <w:rPr>
          <w:rFonts w:ascii="Bookman Old Style" w:hAnsi="Bookman Old Style"/>
          <w:b/>
          <w:sz w:val="22"/>
          <w:szCs w:val="22"/>
        </w:rPr>
        <w:t>/</w:t>
      </w:r>
      <w:r>
        <w:rPr>
          <w:rFonts w:ascii="Bookman Old Style" w:hAnsi="Bookman Old Style"/>
          <w:b/>
          <w:sz w:val="22"/>
          <w:szCs w:val="22"/>
        </w:rPr>
        <w:t>2014</w:t>
      </w:r>
    </w:p>
    <w:p w:rsidR="00020E99" w:rsidRPr="000B03AC" w:rsidRDefault="00020E99" w:rsidP="00020E99">
      <w:pPr>
        <w:pStyle w:val="Ttulo1"/>
        <w:ind w:right="-81"/>
        <w:rPr>
          <w:rFonts w:ascii="Bookman Old Style" w:hAnsi="Bookman Old Style"/>
          <w:sz w:val="22"/>
          <w:szCs w:val="22"/>
        </w:rPr>
      </w:pPr>
    </w:p>
    <w:p w:rsidR="00020E99" w:rsidRPr="000B03AC" w:rsidRDefault="00020E99" w:rsidP="00020E99">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AQUISIÇÃO DE COMBUSTÍVEIS E </w:t>
      </w:r>
      <w:r>
        <w:rPr>
          <w:rFonts w:ascii="Bookman Old Style" w:hAnsi="Bookman Old Style"/>
          <w:sz w:val="22"/>
          <w:szCs w:val="22"/>
        </w:rPr>
        <w:t xml:space="preserve">LUBRIFICANTES PARA O CONSUMO DOS VEÍCULOS DA PREFEITURA MUNICIPAL DE 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w:t>
      </w:r>
      <w:proofErr w:type="gramEnd"/>
    </w:p>
    <w:p w:rsidR="00020E99" w:rsidRPr="000B03AC" w:rsidRDefault="00020E99" w:rsidP="00020E99">
      <w:pPr>
        <w:ind w:right="-79"/>
        <w:rPr>
          <w:rFonts w:ascii="Bookman Old Style" w:hAnsi="Bookman Old Style"/>
          <w:b/>
          <w:bCs/>
          <w:sz w:val="22"/>
          <w:szCs w:val="22"/>
        </w:rPr>
      </w:pPr>
      <w:r>
        <w:rPr>
          <w:rFonts w:ascii="Bookman Old Style" w:hAnsi="Bookman Old Style"/>
          <w:b/>
          <w:sz w:val="22"/>
          <w:szCs w:val="22"/>
        </w:rPr>
        <w:t>DATA DA SESSÃO: 20/01</w:t>
      </w:r>
      <w:r w:rsidRPr="000B03AC">
        <w:rPr>
          <w:rFonts w:ascii="Bookman Old Style" w:hAnsi="Bookman Old Style"/>
          <w:b/>
          <w:sz w:val="22"/>
          <w:szCs w:val="22"/>
        </w:rPr>
        <w:t>/</w:t>
      </w:r>
      <w:r>
        <w:rPr>
          <w:rFonts w:ascii="Bookman Old Style" w:hAnsi="Bookman Old Style"/>
          <w:b/>
          <w:sz w:val="22"/>
          <w:szCs w:val="22"/>
        </w:rPr>
        <w:t>2014</w:t>
      </w:r>
    </w:p>
    <w:p w:rsidR="00020E99" w:rsidRPr="000B03AC" w:rsidRDefault="00020E99" w:rsidP="00020E99">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09</w:t>
      </w:r>
      <w:r w:rsidRPr="000B03AC">
        <w:rPr>
          <w:rFonts w:ascii="Bookman Old Style" w:hAnsi="Bookman Old Style"/>
          <w:b/>
          <w:sz w:val="22"/>
          <w:szCs w:val="22"/>
        </w:rPr>
        <w:t>:00</w:t>
      </w:r>
      <w:proofErr w:type="gramEnd"/>
      <w:r w:rsidRPr="000B03AC">
        <w:rPr>
          <w:rFonts w:ascii="Bookman Old Style" w:hAnsi="Bookman Old Style"/>
          <w:b/>
          <w:sz w:val="22"/>
          <w:szCs w:val="22"/>
        </w:rPr>
        <w:t xml:space="preserve"> horas</w:t>
      </w:r>
    </w:p>
    <w:p w:rsidR="00020E99" w:rsidRPr="000B03AC" w:rsidRDefault="00020E99" w:rsidP="00020E99">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09</w:t>
      </w:r>
      <w:r w:rsidRPr="000B03AC">
        <w:rPr>
          <w:rFonts w:ascii="Bookman Old Style" w:hAnsi="Bookman Old Style"/>
          <w:b/>
          <w:sz w:val="22"/>
          <w:szCs w:val="22"/>
        </w:rPr>
        <w:t>:00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020E99" w:rsidRPr="000B03AC" w:rsidRDefault="00020E99" w:rsidP="00020E99">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sidRPr="000B03AC">
        <w:rPr>
          <w:rFonts w:ascii="Bookman Old Style" w:hAnsi="Bookman Old Style"/>
          <w:sz w:val="22"/>
          <w:szCs w:val="22"/>
        </w:rPr>
        <w:t xml:space="preserve">, através do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Pr>
          <w:rFonts w:ascii="Bookman Old Style" w:hAnsi="Bookman Old Style"/>
          <w:b/>
          <w:sz w:val="22"/>
          <w:szCs w:val="22"/>
        </w:rPr>
        <w:t>MENOR PREÇO e ADJUDICAÇÃO POR ÍTEM</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w:t>
      </w:r>
      <w:r>
        <w:rPr>
          <w:rFonts w:ascii="Bookman Old Style" w:hAnsi="Bookman Old Style"/>
          <w:sz w:val="22"/>
          <w:szCs w:val="22"/>
        </w:rPr>
        <w:t>ições estabelecidas no presente</w:t>
      </w:r>
      <w:r w:rsidRPr="000B03AC">
        <w:rPr>
          <w:rFonts w:ascii="Bookman Old Style" w:hAnsi="Bookman Old Style"/>
          <w:sz w:val="22"/>
          <w:szCs w:val="22"/>
        </w:rPr>
        <w:t xml:space="preserve"> edital e seus anexos.</w:t>
      </w:r>
    </w:p>
    <w:p w:rsidR="00020E99" w:rsidRPr="000B03AC" w:rsidRDefault="00020E99" w:rsidP="00020E99">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09:00</w:t>
      </w:r>
      <w:proofErr w:type="gramEnd"/>
      <w:r>
        <w:rPr>
          <w:rFonts w:ascii="Bookman Old Style" w:hAnsi="Bookman Old Style"/>
          <w:b/>
          <w:sz w:val="22"/>
          <w:szCs w:val="22"/>
        </w:rPr>
        <w:t xml:space="preserve"> horas do dia 20</w:t>
      </w:r>
      <w:r w:rsidRPr="000B03AC">
        <w:rPr>
          <w:rFonts w:ascii="Bookman Old Style" w:hAnsi="Bookman Old Style"/>
          <w:b/>
          <w:sz w:val="22"/>
          <w:szCs w:val="22"/>
        </w:rPr>
        <w:t xml:space="preserve"> de </w:t>
      </w:r>
      <w:r>
        <w:rPr>
          <w:rFonts w:ascii="Bookman Old Style" w:hAnsi="Bookman Old Style"/>
          <w:b/>
          <w:sz w:val="22"/>
          <w:szCs w:val="22"/>
        </w:rPr>
        <w:t>janeiro</w:t>
      </w:r>
      <w:r w:rsidRPr="000B03AC">
        <w:rPr>
          <w:rFonts w:ascii="Bookman Old Style" w:hAnsi="Bookman Old Style"/>
          <w:b/>
          <w:sz w:val="22"/>
          <w:szCs w:val="22"/>
        </w:rPr>
        <w:t xml:space="preserve"> de </w:t>
      </w:r>
      <w:r>
        <w:rPr>
          <w:rFonts w:ascii="Bookman Old Style" w:hAnsi="Bookman Old Style"/>
          <w:b/>
          <w:sz w:val="22"/>
          <w:szCs w:val="22"/>
        </w:rPr>
        <w:t>2014</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 nº 55</w:t>
      </w:r>
      <w:r w:rsidRPr="000B03AC">
        <w:rPr>
          <w:rFonts w:ascii="Bookman Old Style" w:hAnsi="Bookman Old Style"/>
          <w:sz w:val="22"/>
          <w:szCs w:val="22"/>
        </w:rPr>
        <w:t xml:space="preserve">, Centro, </w:t>
      </w:r>
      <w:r>
        <w:rPr>
          <w:rFonts w:ascii="Bookman Old Style" w:hAnsi="Bookman Old Style"/>
          <w:sz w:val="22"/>
          <w:szCs w:val="22"/>
        </w:rPr>
        <w:t>Santo Antônio dos Milagres</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020E99" w:rsidRPr="000B03AC" w:rsidRDefault="00020E99" w:rsidP="00020E99">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020E99" w:rsidRPr="000B03AC" w:rsidRDefault="00020E99" w:rsidP="00020E99">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 aquisição de combustíveis e </w:t>
      </w:r>
      <w:r>
        <w:rPr>
          <w:rFonts w:ascii="Bookman Old Style" w:hAnsi="Bookman Old Style"/>
          <w:sz w:val="22"/>
          <w:szCs w:val="22"/>
        </w:rPr>
        <w:t xml:space="preserve">lubrificantes para o consumo dos veículos da Prefeitura Municipal de Santo </w:t>
      </w:r>
      <w:bookmarkStart w:id="0" w:name="_GoBack"/>
      <w:bookmarkEnd w:id="0"/>
      <w:r>
        <w:rPr>
          <w:rFonts w:ascii="Bookman Old Style" w:hAnsi="Bookman Old Style"/>
          <w:sz w:val="22"/>
          <w:szCs w:val="22"/>
        </w:rPr>
        <w:t>Antônio dos Milagres (</w:t>
      </w:r>
      <w:r w:rsidRPr="000B03AC">
        <w:rPr>
          <w:rFonts w:ascii="Bookman Old Style" w:hAnsi="Bookman Old Style"/>
          <w:sz w:val="22"/>
          <w:szCs w:val="22"/>
        </w:rPr>
        <w:t>Portaria nº 448, de 13/09/2002), conforme especificações e quantidades constantes do anexo I.</w:t>
      </w:r>
    </w:p>
    <w:p w:rsidR="00020E99" w:rsidRPr="000B03AC" w:rsidRDefault="00020E99" w:rsidP="00020E99">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020E99" w:rsidRPr="000B03AC" w:rsidRDefault="00020E99" w:rsidP="00020E99">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020E99" w:rsidRPr="000B03AC" w:rsidRDefault="00020E99" w:rsidP="00020E99">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020E99" w:rsidRPr="000B03AC" w:rsidRDefault="00020E99" w:rsidP="00020E99">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020E99" w:rsidRPr="000B03AC" w:rsidRDefault="00020E99" w:rsidP="00020E99">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020E99" w:rsidRPr="000B03AC" w:rsidRDefault="00020E99" w:rsidP="00020E99">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020E99" w:rsidRPr="000B03AC" w:rsidRDefault="00020E99" w:rsidP="00020E99">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020E99" w:rsidRPr="000B03AC" w:rsidRDefault="00020E99" w:rsidP="00020E99">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020E99" w:rsidRPr="000B03AC" w:rsidRDefault="00020E99" w:rsidP="00020E99">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lastRenderedPageBreak/>
        <w:t>3 – DOS IMPEDIMENTOS À PARTICIPAÇÃO</w:t>
      </w:r>
    </w:p>
    <w:p w:rsidR="00020E99" w:rsidRPr="000B03AC" w:rsidRDefault="00020E99" w:rsidP="00020E99">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020E99" w:rsidRPr="000B03AC" w:rsidRDefault="00020E99" w:rsidP="00020E99">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020E99" w:rsidRPr="000B03AC" w:rsidRDefault="00020E99" w:rsidP="00020E99">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020E99" w:rsidRPr="000B03AC" w:rsidRDefault="00020E99" w:rsidP="00020E99">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020E99" w:rsidRPr="000B03AC" w:rsidRDefault="00020E99" w:rsidP="00020E99">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020E99" w:rsidRPr="000B03AC" w:rsidRDefault="00020E99" w:rsidP="00020E99">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020E99" w:rsidRPr="000B03AC" w:rsidRDefault="00020E99" w:rsidP="00020E99">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020E99" w:rsidRPr="000B03AC" w:rsidRDefault="00020E99" w:rsidP="00020E99">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020E99" w:rsidRPr="000B03AC" w:rsidRDefault="00020E99" w:rsidP="00020E99">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4.6 – Para os licitantes que não pretendem credenciar-se, a declaração de que cumpre plenamente os requisitos de habilitação, bem como os documentos de </w:t>
      </w:r>
      <w:r w:rsidRPr="000B03AC">
        <w:rPr>
          <w:rFonts w:ascii="Bookman Old Style" w:hAnsi="Bookman Old Style"/>
          <w:sz w:val="22"/>
          <w:szCs w:val="22"/>
        </w:rPr>
        <w:lastRenderedPageBreak/>
        <w:t>habilitação e proposta, deverão ser entregues ou encaminhados ao setor responsável pela licitação em envelopes separados.</w:t>
      </w:r>
    </w:p>
    <w:p w:rsidR="00020E99" w:rsidRPr="000B03AC" w:rsidRDefault="00020E99" w:rsidP="00020E99">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020E99" w:rsidRPr="000B03AC" w:rsidRDefault="00020E99" w:rsidP="00020E99">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szCs w:val="22"/>
        </w:rPr>
        <w:t>HABILITAÇÃO</w:t>
      </w:r>
      <w:proofErr w:type="gramEnd"/>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020E99" w:rsidRPr="000B03AC" w:rsidRDefault="00020E99" w:rsidP="00020E99">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020E99" w:rsidRPr="000B03AC" w:rsidRDefault="00020E99" w:rsidP="00020E99">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020E99" w:rsidRPr="000B03AC" w:rsidRDefault="00020E99" w:rsidP="00020E99">
      <w:pPr>
        <w:ind w:right="-79"/>
        <w:jc w:val="both"/>
        <w:rPr>
          <w:rFonts w:ascii="Bookman Old Style" w:hAnsi="Bookman Old Style"/>
          <w:sz w:val="22"/>
          <w:szCs w:val="22"/>
        </w:rPr>
      </w:pPr>
      <w:r w:rsidRPr="000B03AC">
        <w:rPr>
          <w:rFonts w:ascii="Bookman Old Style" w:hAnsi="Bookman Old Style"/>
          <w:b/>
          <w:sz w:val="22"/>
          <w:szCs w:val="22"/>
        </w:rPr>
        <w:t>Empresa:</w:t>
      </w:r>
    </w:p>
    <w:p w:rsidR="00020E99" w:rsidRPr="000B03AC" w:rsidRDefault="00020E99" w:rsidP="00020E99">
      <w:pPr>
        <w:pStyle w:val="Ttulo3"/>
        <w:ind w:right="-79"/>
        <w:rPr>
          <w:rFonts w:ascii="Bookman Old Style" w:hAnsi="Bookman Old Style"/>
          <w:szCs w:val="22"/>
        </w:rPr>
      </w:pPr>
    </w:p>
    <w:p w:rsidR="00020E99" w:rsidRPr="000B03AC" w:rsidRDefault="00020E99" w:rsidP="00020E99">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020E99" w:rsidRPr="000B03AC" w:rsidRDefault="00020E99" w:rsidP="00020E99">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020E99" w:rsidRPr="000B03AC" w:rsidRDefault="00020E99" w:rsidP="00020E99">
      <w:pPr>
        <w:ind w:right="-79"/>
        <w:jc w:val="both"/>
        <w:rPr>
          <w:rFonts w:ascii="Bookman Old Style" w:hAnsi="Bookman Old Style"/>
          <w:b/>
          <w:sz w:val="22"/>
          <w:szCs w:val="22"/>
        </w:rPr>
      </w:pPr>
      <w:r w:rsidRPr="000B03AC">
        <w:rPr>
          <w:rFonts w:ascii="Bookman Old Style" w:hAnsi="Bookman Old Style"/>
          <w:b/>
          <w:sz w:val="22"/>
          <w:szCs w:val="22"/>
        </w:rPr>
        <w:t>Empresa:</w:t>
      </w:r>
    </w:p>
    <w:p w:rsidR="00020E99" w:rsidRPr="000B03AC" w:rsidRDefault="00020E99" w:rsidP="00020E99">
      <w:pPr>
        <w:ind w:right="-81"/>
        <w:jc w:val="both"/>
        <w:rPr>
          <w:rFonts w:ascii="Bookman Old Style" w:hAnsi="Bookman Old Style"/>
          <w:sz w:val="22"/>
          <w:szCs w:val="22"/>
        </w:rPr>
      </w:pPr>
      <w:r w:rsidRPr="000B03AC">
        <w:rPr>
          <w:rFonts w:ascii="Bookman Old Style" w:hAnsi="Bookman Old Style"/>
          <w:sz w:val="22"/>
          <w:szCs w:val="22"/>
        </w:rPr>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szCs w:val="22"/>
        </w:rPr>
        <w:t>seqüencialmente</w:t>
      </w:r>
      <w:proofErr w:type="spellEnd"/>
      <w:r w:rsidRPr="000B03AC">
        <w:rPr>
          <w:rFonts w:ascii="Bookman Old Style" w:hAnsi="Bookman Old Style"/>
          <w:sz w:val="22"/>
          <w:szCs w:val="22"/>
        </w:rPr>
        <w:t xml:space="preserve">, sem rasuras, </w:t>
      </w:r>
      <w:r w:rsidRPr="000B03AC">
        <w:rPr>
          <w:rFonts w:ascii="Bookman Old Style" w:hAnsi="Bookman Old Style"/>
          <w:sz w:val="22"/>
          <w:szCs w:val="22"/>
        </w:rPr>
        <w:lastRenderedPageBreak/>
        <w:t xml:space="preserve">emendas, borrões ou entrelinhas e ser datada e assinada pelo representante legal da licitante ou pelo procurador, legalmente habilitado.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020E99" w:rsidRPr="000B03AC" w:rsidRDefault="00020E99" w:rsidP="00020E99">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020E99" w:rsidRPr="000B03AC" w:rsidRDefault="00020E99" w:rsidP="00020E99">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020E99" w:rsidRPr="000B03AC" w:rsidRDefault="00020E99" w:rsidP="00020E99">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020E99" w:rsidRPr="000B03AC" w:rsidRDefault="00020E99" w:rsidP="00020E99">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020E99" w:rsidRPr="000B03AC" w:rsidRDefault="00020E99" w:rsidP="00020E99">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020E99" w:rsidRPr="000B03AC" w:rsidRDefault="00020E99" w:rsidP="00020E99">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 xml:space="preserve">a) Declaração, assinada por quem de direito, de que, em cumprimento ao estabelecido no inciso XXXIII do artigo 7º da Constituição Federal, na Lei n.º </w:t>
      </w:r>
      <w:r w:rsidRPr="000B03AC">
        <w:rPr>
          <w:rFonts w:ascii="Bookman Old Style" w:hAnsi="Bookman Old Style"/>
          <w:sz w:val="22"/>
          <w:szCs w:val="22"/>
        </w:rPr>
        <w:lastRenderedPageBreak/>
        <w:t xml:space="preserve">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020E99" w:rsidRPr="000B03AC" w:rsidRDefault="00020E99" w:rsidP="00020E99">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020E99" w:rsidRPr="000B03AC" w:rsidRDefault="00020E99" w:rsidP="00020E99">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020E99" w:rsidRPr="000B03AC" w:rsidRDefault="00020E99" w:rsidP="00020E99">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Cópia da cédula de identidade dos sócios;</w:t>
      </w:r>
    </w:p>
    <w:p w:rsidR="00020E99" w:rsidRPr="000B03AC" w:rsidRDefault="00020E99" w:rsidP="00020E99">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020E99" w:rsidRPr="000B03AC" w:rsidRDefault="00020E99" w:rsidP="00020E99">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020E99" w:rsidRDefault="00020E99" w:rsidP="00020E99">
      <w:pPr>
        <w:tabs>
          <w:tab w:val="left" w:pos="0"/>
          <w:tab w:val="left" w:pos="567"/>
          <w:tab w:val="left" w:pos="810"/>
          <w:tab w:val="left" w:pos="1134"/>
          <w:tab w:val="left" w:pos="1620"/>
        </w:tabs>
        <w:ind w:right="-91"/>
        <w:jc w:val="both"/>
        <w:rPr>
          <w:rFonts w:ascii="Bookman Old Style" w:hAnsi="Bookman Old Style"/>
          <w:sz w:val="22"/>
          <w:szCs w:val="22"/>
        </w:rPr>
      </w:pPr>
    </w:p>
    <w:p w:rsidR="00020E99" w:rsidRPr="000B03AC" w:rsidRDefault="00020E99" w:rsidP="00020E99">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020E99" w:rsidRPr="000B03AC" w:rsidRDefault="00020E99" w:rsidP="00020E99">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020E99" w:rsidRPr="000B03AC" w:rsidRDefault="00020E99" w:rsidP="00020E99">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020E99" w:rsidRPr="000B03AC" w:rsidRDefault="00020E99" w:rsidP="00020E99">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e) Cópia do CPF dos sócios;</w:t>
      </w:r>
    </w:p>
    <w:p w:rsidR="00020E99" w:rsidRPr="000B03AC" w:rsidRDefault="00020E99" w:rsidP="00020E99">
      <w:pPr>
        <w:pStyle w:val="Recuodecorpodetexto"/>
        <w:tabs>
          <w:tab w:val="num" w:pos="1122"/>
        </w:tabs>
        <w:spacing w:before="120"/>
        <w:ind w:firstLine="0"/>
        <w:rPr>
          <w:rFonts w:ascii="Bookman Old Style" w:hAnsi="Bookman Old Style"/>
          <w:sz w:val="22"/>
          <w:szCs w:val="22"/>
        </w:rPr>
      </w:pPr>
      <w:r w:rsidRPr="000B03AC">
        <w:rPr>
          <w:rFonts w:ascii="Bookman Old Style" w:hAnsi="Bookman Old Style"/>
          <w:sz w:val="22"/>
          <w:szCs w:val="22"/>
        </w:rPr>
        <w:t xml:space="preserve">f) 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020E99" w:rsidRPr="000B03AC" w:rsidRDefault="00020E99" w:rsidP="00020E99">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g) Certidão Negativa de Débito - CND (Lei n.º 8.212/91), expedida pelo Instituto Nacional do Seguro Social - INSS.</w:t>
      </w:r>
    </w:p>
    <w:p w:rsidR="00020E99" w:rsidRPr="000B03AC" w:rsidRDefault="00020E99" w:rsidP="00020E99">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cs="Arial"/>
          <w:sz w:val="22"/>
          <w:szCs w:val="22"/>
        </w:rPr>
        <w:t>h) Certidão Negativa de Débitos Trabalhistas – CNDT (Lei 12.440/2011).</w:t>
      </w:r>
    </w:p>
    <w:p w:rsidR="00020E99" w:rsidRPr="00AD1D43" w:rsidRDefault="00020E99" w:rsidP="00020E99">
      <w:pPr>
        <w:pStyle w:val="Corpodetexto2"/>
        <w:spacing w:after="0"/>
        <w:rPr>
          <w:rFonts w:ascii="Bookman Old Style" w:hAnsi="Bookman Old Style"/>
          <w:sz w:val="22"/>
          <w:szCs w:val="22"/>
        </w:rPr>
      </w:pPr>
      <w:r w:rsidRPr="000B03AC">
        <w:rPr>
          <w:rFonts w:ascii="Bookman Old Style" w:hAnsi="Bookman Old Style"/>
          <w:sz w:val="22"/>
          <w:szCs w:val="22"/>
        </w:rPr>
        <w:t>7.1</w:t>
      </w:r>
      <w:r w:rsidRPr="00AD1D43">
        <w:rPr>
          <w:rFonts w:ascii="Bookman Old Style" w:hAnsi="Bookman Old Style"/>
          <w:sz w:val="22"/>
          <w:szCs w:val="22"/>
        </w:rPr>
        <w:t>.4 – Documentos relativos à qualificação econômico-financeira:</w:t>
      </w:r>
    </w:p>
    <w:p w:rsidR="00020E99" w:rsidRDefault="00020E99" w:rsidP="00020E99">
      <w:pPr>
        <w:tabs>
          <w:tab w:val="left" w:pos="0"/>
          <w:tab w:val="left" w:pos="567"/>
          <w:tab w:val="left" w:pos="810"/>
          <w:tab w:val="left" w:pos="1134"/>
          <w:tab w:val="left" w:pos="1620"/>
        </w:tabs>
        <w:ind w:right="-91"/>
        <w:jc w:val="both"/>
        <w:rPr>
          <w:rFonts w:ascii="Bookman Old Style" w:hAnsi="Bookman Old Style"/>
          <w:sz w:val="22"/>
          <w:szCs w:val="22"/>
        </w:rPr>
      </w:pPr>
      <w:r w:rsidRPr="00AD1D43">
        <w:rPr>
          <w:rFonts w:ascii="Bookman Old Style" w:hAnsi="Bookman Old Style"/>
          <w:sz w:val="22"/>
          <w:szCs w:val="22"/>
        </w:rPr>
        <w:t>a) Certidão negativa de falência ou concordata expedida pelo distribuidor da sede da pessoa jurídica, ou de execução patrimonial, expedida no domicílio da pessoa física.</w:t>
      </w:r>
    </w:p>
    <w:p w:rsidR="00020E99" w:rsidRPr="000B03AC" w:rsidRDefault="00020E99" w:rsidP="00020E99">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 xml:space="preserve">   </w:t>
      </w:r>
    </w:p>
    <w:p w:rsidR="00020E99" w:rsidRPr="000B03AC" w:rsidRDefault="00020E99" w:rsidP="00020E99">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020E99" w:rsidRPr="000B03AC" w:rsidRDefault="00020E99" w:rsidP="00020E99">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7.3 – Não serão aceitos “protocolo de entrega” ou “solicitação de documento” em substituição aos documentos requeridos neste Edital e seus anexos.</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7.4 – Se a documentação de habilitação não estiver completa e correta ou contrariar qualquer dispositivo deste edital e seus anexos poderá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considerar o proponente inabilitado.</w:t>
      </w:r>
    </w:p>
    <w:p w:rsidR="00020E99" w:rsidRPr="000B03AC" w:rsidRDefault="00020E99" w:rsidP="00020E99">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020E99" w:rsidRPr="000B03AC" w:rsidRDefault="00020E99" w:rsidP="00020E99">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020E99" w:rsidRPr="000B03AC" w:rsidRDefault="00020E99" w:rsidP="00020E99">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020E99" w:rsidRPr="000B03AC" w:rsidRDefault="00020E99" w:rsidP="00020E99">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 da conformidade destas com os requisitos estabelecidos neste edital e seus anexo, sendo desclassificadas as propostas:</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Que contenham preço manifestamente </w:t>
      </w:r>
      <w:proofErr w:type="spellStart"/>
      <w:r w:rsidRPr="000B03AC">
        <w:rPr>
          <w:rFonts w:ascii="Bookman Old Style" w:hAnsi="Bookman Old Style"/>
          <w:sz w:val="22"/>
          <w:szCs w:val="22"/>
        </w:rPr>
        <w:t>inexeqüível</w:t>
      </w:r>
      <w:proofErr w:type="spellEnd"/>
      <w:r w:rsidRPr="000B03AC">
        <w:rPr>
          <w:rFonts w:ascii="Bookman Old Style" w:hAnsi="Bookman Old Style"/>
          <w:sz w:val="22"/>
          <w:szCs w:val="22"/>
        </w:rPr>
        <w:t>, assim considerado aqueles que não venham a ter demonstrado sua viabilidade por meio de documentação que comprove que os custos dos produtos são coerentes com os de mercado.</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020E99" w:rsidRPr="000B03AC" w:rsidRDefault="00020E99" w:rsidP="00020E99">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Seleção da proposta de menor preço e as demais com preços até 10% (dez por cento) superiores àquela.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020E99" w:rsidRPr="000B03AC" w:rsidRDefault="00020E99" w:rsidP="00020E99">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020E99" w:rsidRPr="000B03AC" w:rsidRDefault="00020E99" w:rsidP="00020E99">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w:t>
      </w:r>
      <w:proofErr w:type="spellStart"/>
      <w:r w:rsidRPr="000B03AC">
        <w:rPr>
          <w:rFonts w:ascii="Bookman Old Style" w:hAnsi="Bookman Old Style"/>
          <w:sz w:val="22"/>
          <w:szCs w:val="22"/>
        </w:rPr>
        <w:t>seqüencial</w:t>
      </w:r>
      <w:proofErr w:type="spellEnd"/>
      <w:r w:rsidRPr="000B03AC">
        <w:rPr>
          <w:rFonts w:ascii="Bookman Old Style" w:hAnsi="Bookman Old Style"/>
          <w:sz w:val="22"/>
          <w:szCs w:val="22"/>
        </w:rPr>
        <w:t xml:space="preserve">, a partir do autor da proposta de maior valor e os demais em ordem decrescente de valor.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020E99" w:rsidRPr="000B03AC" w:rsidRDefault="00020E99" w:rsidP="00020E99">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020E99" w:rsidRPr="000B03AC" w:rsidRDefault="00020E99" w:rsidP="00020E99">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020E99" w:rsidRPr="000B03AC" w:rsidRDefault="00020E99" w:rsidP="00020E99">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020E99" w:rsidRPr="000B03AC" w:rsidRDefault="00020E99" w:rsidP="00020E99">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 xml:space="preserve">imo preço ofertado e aceito </w:t>
      </w:r>
      <w:proofErr w:type="gramStart"/>
      <w:r>
        <w:rPr>
          <w:rFonts w:ascii="Bookman Old Style" w:hAnsi="Bookman Old Style"/>
          <w:sz w:val="22"/>
          <w:szCs w:val="22"/>
        </w:rPr>
        <w:t>pela</w:t>
      </w:r>
      <w:r w:rsidRPr="000B03AC">
        <w:rPr>
          <w:rFonts w:ascii="Bookman Old Style" w:hAnsi="Bookman Old Style"/>
          <w:sz w:val="22"/>
          <w:szCs w:val="22"/>
        </w:rPr>
        <w:t xml:space="preserve"> </w:t>
      </w:r>
      <w:r>
        <w:rPr>
          <w:rFonts w:ascii="Bookman Old Style" w:hAnsi="Bookman Old Style"/>
          <w:sz w:val="22"/>
          <w:szCs w:val="22"/>
        </w:rPr>
        <w:t>Pregoeiro</w:t>
      </w:r>
      <w:proofErr w:type="gramEnd"/>
      <w:r w:rsidRPr="000B03AC">
        <w:rPr>
          <w:rFonts w:ascii="Bookman Old Style" w:hAnsi="Bookman Old Style"/>
          <w:sz w:val="22"/>
          <w:szCs w:val="22"/>
        </w:rPr>
        <w:t xml:space="preserve">. </w:t>
      </w:r>
    </w:p>
    <w:p w:rsidR="00020E99" w:rsidRPr="000B03AC" w:rsidRDefault="00020E99" w:rsidP="00020E99">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020E99" w:rsidRPr="000B03AC" w:rsidRDefault="00020E99" w:rsidP="00020E99">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020E99" w:rsidRPr="000B03AC" w:rsidRDefault="00020E99" w:rsidP="00020E99">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8.16 – Considerada aceitável a oferta de menor preço para o item, somente será aberto o envelope contendo os documentos de habilitação quando concluído o julgamento de todos os demais itens.</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020E99" w:rsidRPr="000B03AC" w:rsidRDefault="00020E99" w:rsidP="00020E99">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020E99" w:rsidRPr="000B03AC" w:rsidRDefault="00020E99" w:rsidP="00020E99">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020E99" w:rsidRPr="000B03AC" w:rsidRDefault="00020E99" w:rsidP="00020E99">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020E99" w:rsidRPr="000B03AC" w:rsidRDefault="00020E99" w:rsidP="00020E99">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020E99" w:rsidRPr="000B03AC" w:rsidRDefault="00020E99" w:rsidP="00020E99">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w:t>
      </w:r>
      <w:proofErr w:type="spellStart"/>
      <w:r w:rsidRPr="000B03AC">
        <w:rPr>
          <w:rFonts w:ascii="Bookman Old Style" w:hAnsi="Bookman Old Style"/>
          <w:sz w:val="22"/>
          <w:szCs w:val="22"/>
        </w:rPr>
        <w:t>subseqüente</w:t>
      </w:r>
      <w:proofErr w:type="spellEnd"/>
      <w:r w:rsidRPr="000B03AC">
        <w:rPr>
          <w:rFonts w:ascii="Bookman Old Style" w:hAnsi="Bookman Old Style"/>
          <w:sz w:val="22"/>
          <w:szCs w:val="22"/>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r>
        <w:rPr>
          <w:rFonts w:ascii="Bookman Old Style" w:hAnsi="Bookman Old Style"/>
          <w:sz w:val="22"/>
          <w:szCs w:val="22"/>
        </w:rPr>
        <w:t xml:space="preserve"> </w:t>
      </w:r>
      <w:r w:rsidRPr="000B03AC">
        <w:rPr>
          <w:rFonts w:ascii="Bookman Old Style" w:hAnsi="Bookman Old Style"/>
          <w:sz w:val="22"/>
          <w:szCs w:val="22"/>
        </w:rPr>
        <w:t>(</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8.19 – Constatado o atendimento dos requisitos de habilitação previstos neste Edital, a(s) licitante(s) será</w:t>
      </w:r>
      <w:r>
        <w:rPr>
          <w:rFonts w:ascii="Bookman Old Style" w:hAnsi="Bookman Old Style"/>
          <w:sz w:val="22"/>
          <w:szCs w:val="22"/>
        </w:rPr>
        <w:t xml:space="preserve"> </w:t>
      </w:r>
      <w:r w:rsidRPr="000B03AC">
        <w:rPr>
          <w:rFonts w:ascii="Bookman Old Style" w:hAnsi="Bookman Old Style"/>
          <w:sz w:val="22"/>
          <w:szCs w:val="22"/>
        </w:rPr>
        <w:t xml:space="preserve">(ao) habilitada(s) e declarada(s) vencedora(s) do certame. </w:t>
      </w:r>
    </w:p>
    <w:p w:rsidR="00020E99" w:rsidRPr="000B03AC" w:rsidRDefault="00020E99" w:rsidP="00020E99">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020E99" w:rsidRPr="000B03AC" w:rsidRDefault="00020E99" w:rsidP="00020E99">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w:t>
      </w:r>
      <w:proofErr w:type="spellStart"/>
      <w:r w:rsidRPr="000B03AC">
        <w:rPr>
          <w:rFonts w:ascii="Bookman Old Style" w:hAnsi="Bookman Old Style" w:cs="Arial"/>
          <w:sz w:val="22"/>
          <w:szCs w:val="22"/>
        </w:rPr>
        <w:t>contra-razões</w:t>
      </w:r>
      <w:proofErr w:type="spellEnd"/>
      <w:r w:rsidRPr="000B03AC">
        <w:rPr>
          <w:rFonts w:ascii="Bookman Old Style" w:hAnsi="Bookman Old Style" w:cs="Arial"/>
          <w:sz w:val="22"/>
          <w:szCs w:val="22"/>
        </w:rPr>
        <w:t xml:space="preserve"> em igual número de dias, que começarão a correr no término do prazo do recorrente, sendo-lhes assegurada vista imediata dos autos.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lastRenderedPageBreak/>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9.6 – A</w:t>
      </w:r>
      <w:r>
        <w:rPr>
          <w:rFonts w:ascii="Bookman Old Style" w:hAnsi="Bookman Old Style" w:cs="Arial"/>
          <w:sz w:val="22"/>
          <w:szCs w:val="22"/>
        </w:rPr>
        <w:t xml:space="preserve"> adjudicação será feita por </w:t>
      </w:r>
      <w:proofErr w:type="spellStart"/>
      <w:r>
        <w:rPr>
          <w:rFonts w:ascii="Bookman Old Style" w:hAnsi="Bookman Old Style" w:cs="Arial"/>
          <w:sz w:val="22"/>
          <w:szCs w:val="22"/>
        </w:rPr>
        <w:t>ítem</w:t>
      </w:r>
      <w:proofErr w:type="spellEnd"/>
      <w:r w:rsidRPr="000B03AC">
        <w:rPr>
          <w:rFonts w:ascii="Bookman Old Style" w:hAnsi="Bookman Old Style" w:cs="Arial"/>
          <w:sz w:val="22"/>
          <w:szCs w:val="22"/>
        </w:rPr>
        <w:t xml:space="preserve">. </w:t>
      </w:r>
    </w:p>
    <w:p w:rsidR="00020E99" w:rsidRPr="000B03AC" w:rsidRDefault="00020E99" w:rsidP="00020E99">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10.4 – Os itens deverão ser entregues no prazo não superior a 48 (quarenta e oito) horas, contados a partir do recebimento da respectiva requisição.</w:t>
      </w:r>
    </w:p>
    <w:p w:rsidR="00020E99" w:rsidRPr="000B03AC" w:rsidRDefault="00020E99" w:rsidP="00020E99">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020E99" w:rsidRPr="000B03AC" w:rsidRDefault="00020E99" w:rsidP="00020E99">
      <w:pPr>
        <w:pStyle w:val="NormalWeb"/>
        <w:spacing w:before="0" w:beforeAutospacing="0" w:after="0" w:afterAutospacing="0"/>
        <w:jc w:val="both"/>
        <w:rPr>
          <w:rFonts w:ascii="Bookman Old Style" w:hAnsi="Bookman Old Style" w:cs="Arial"/>
          <w:sz w:val="22"/>
          <w:szCs w:val="22"/>
        </w:rPr>
      </w:pPr>
    </w:p>
    <w:p w:rsidR="00020E99" w:rsidRPr="000B03AC" w:rsidRDefault="00020E99" w:rsidP="00020E99">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10.6 – O objeto desta licitação será fornecido na sede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-PI, conforme as especificações constantes deste edital, no horário de </w:t>
      </w:r>
      <w:proofErr w:type="gramStart"/>
      <w:r w:rsidRPr="000B03AC">
        <w:rPr>
          <w:rFonts w:ascii="Bookman Old Style" w:hAnsi="Bookman Old Style"/>
          <w:sz w:val="22"/>
          <w:szCs w:val="22"/>
        </w:rPr>
        <w:t>8:00</w:t>
      </w:r>
      <w:proofErr w:type="gramEnd"/>
      <w:r w:rsidRPr="000B03AC">
        <w:rPr>
          <w:rFonts w:ascii="Bookman Old Style" w:hAnsi="Bookman Old Style"/>
          <w:sz w:val="22"/>
          <w:szCs w:val="22"/>
        </w:rPr>
        <w:t>hs às 12:00hs, no endereço especificado no preâmbulo deste edital.</w:t>
      </w:r>
    </w:p>
    <w:p w:rsidR="00020E99" w:rsidRPr="000B03AC" w:rsidRDefault="00020E99" w:rsidP="00020E99">
      <w:pPr>
        <w:tabs>
          <w:tab w:val="left" w:pos="1134"/>
          <w:tab w:val="left" w:pos="2269"/>
          <w:tab w:val="left" w:pos="4962"/>
        </w:tabs>
        <w:ind w:right="-91"/>
        <w:jc w:val="both"/>
        <w:rPr>
          <w:rFonts w:ascii="Bookman Old Style" w:hAnsi="Bookman Old Style"/>
          <w:sz w:val="22"/>
          <w:szCs w:val="22"/>
        </w:rPr>
      </w:pPr>
    </w:p>
    <w:p w:rsidR="00020E99" w:rsidRPr="000B03AC" w:rsidRDefault="00020E99" w:rsidP="00020E99">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10.7 – A firma fornecedora ficará obrigada a trocar, imediatamente, o produto que vier a ser recusado, sem nenhum ônus para o Município.</w:t>
      </w:r>
    </w:p>
    <w:p w:rsidR="00020E99" w:rsidRPr="000B03AC" w:rsidRDefault="00020E99" w:rsidP="00020E99">
      <w:pPr>
        <w:tabs>
          <w:tab w:val="left" w:pos="1134"/>
          <w:tab w:val="left" w:pos="2269"/>
          <w:tab w:val="left" w:pos="4962"/>
        </w:tabs>
        <w:ind w:right="-91"/>
        <w:jc w:val="both"/>
        <w:rPr>
          <w:rFonts w:ascii="Bookman Old Style" w:hAnsi="Bookman Old Style"/>
          <w:sz w:val="22"/>
          <w:szCs w:val="22"/>
        </w:rPr>
      </w:pPr>
    </w:p>
    <w:p w:rsidR="00020E99" w:rsidRPr="000B03AC" w:rsidRDefault="00020E99" w:rsidP="00020E99">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10.8 – Os produtos deverão ser entregues pela empresa vencedora com prazo de validade não inferior a 12(doze) meses a contar do recebimento.</w:t>
      </w:r>
    </w:p>
    <w:p w:rsidR="00020E99" w:rsidRPr="000B03AC" w:rsidRDefault="00020E99" w:rsidP="00020E99">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10.9 – Correrão por conta da contratada todas as despesas de embalagem, seguros, transporte, tributos, encargos trabalhistas e previdenciários, decorrentes da entrega e da própria aquisição dos produtos. </w:t>
      </w:r>
    </w:p>
    <w:p w:rsidR="00020E99" w:rsidRPr="000B03AC" w:rsidRDefault="00020E99" w:rsidP="00020E99">
      <w:pPr>
        <w:jc w:val="both"/>
        <w:rPr>
          <w:rFonts w:ascii="Bookman Old Style" w:hAnsi="Bookman Old Style"/>
          <w:b/>
          <w:sz w:val="22"/>
          <w:szCs w:val="22"/>
        </w:rPr>
      </w:pPr>
      <w:r w:rsidRPr="000B03AC">
        <w:rPr>
          <w:rFonts w:ascii="Bookman Old Style" w:hAnsi="Bookman Old Style"/>
          <w:b/>
          <w:sz w:val="22"/>
          <w:szCs w:val="22"/>
        </w:rPr>
        <w:t>11 – DO PAGAMENTO</w:t>
      </w:r>
    </w:p>
    <w:p w:rsidR="00020E99" w:rsidRPr="000B03AC" w:rsidRDefault="00020E99" w:rsidP="00020E99">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lastRenderedPageBreak/>
        <w:t>11.1 – O pagamento será efetuado em até 30 (trinta) dias após a entrega da Nota Fiscal/</w:t>
      </w:r>
      <w:proofErr w:type="gramStart"/>
      <w:r w:rsidRPr="000B03AC">
        <w:rPr>
          <w:rFonts w:ascii="Bookman Old Style" w:hAnsi="Bookman Old Style"/>
          <w:sz w:val="22"/>
          <w:szCs w:val="22"/>
        </w:rPr>
        <w:t>Fatura, devidamente atestada, pela autoridade competente, após a entrega, sendo esta condição imprescindível para o pagamento</w:t>
      </w:r>
      <w:proofErr w:type="gramEnd"/>
      <w:r w:rsidRPr="000B03AC">
        <w:rPr>
          <w:rFonts w:ascii="Bookman Old Style" w:hAnsi="Bookman Old Style"/>
          <w:sz w:val="22"/>
          <w:szCs w:val="22"/>
        </w:rPr>
        <w:t>.</w:t>
      </w:r>
    </w:p>
    <w:p w:rsidR="00020E99" w:rsidRPr="000B03AC" w:rsidRDefault="00020E99" w:rsidP="00020E99">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b) Fiscalizar e acompanhar a entrega dos itens objeto desta licitação.</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c) Comunicar à CONTRATADA toda e qualquer ocorrência relacionada com a entrega do material, diligenciando nos casos que exigem providências corretivas.</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020E99" w:rsidRPr="000B03AC" w:rsidRDefault="00020E99" w:rsidP="00020E99">
      <w:pPr>
        <w:spacing w:before="120" w:after="120"/>
        <w:jc w:val="both"/>
        <w:rPr>
          <w:rFonts w:ascii="Bookman Old Style" w:hAnsi="Bookman Old Style"/>
          <w:b/>
          <w:sz w:val="22"/>
          <w:szCs w:val="22"/>
        </w:rPr>
      </w:pPr>
      <w:r w:rsidRPr="000B03AC">
        <w:rPr>
          <w:rFonts w:ascii="Bookman Old Style" w:hAnsi="Bookman Old Style"/>
          <w:b/>
          <w:sz w:val="22"/>
          <w:szCs w:val="22"/>
        </w:rPr>
        <w:t>13 – DAS OBRIGAÇÕES DA CONTRATADA</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020E99" w:rsidRPr="000B03AC" w:rsidRDefault="00020E99" w:rsidP="00020E99">
      <w:pPr>
        <w:spacing w:before="120" w:after="120"/>
        <w:jc w:val="both"/>
        <w:rPr>
          <w:rFonts w:ascii="Bookman Old Style" w:hAnsi="Bookman Old Style"/>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020E99" w:rsidRPr="000B03AC" w:rsidRDefault="00020E99" w:rsidP="00020E99">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020E99" w:rsidRPr="000B03AC" w:rsidRDefault="00020E99" w:rsidP="00020E99">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 xml:space="preserve">, FPM, ICMS, FUNDEB, FUS, FMAS e FMS, </w:t>
      </w:r>
      <w:r>
        <w:rPr>
          <w:rFonts w:ascii="Bookman Old Style" w:hAnsi="Bookman Old Style"/>
          <w:sz w:val="22"/>
          <w:szCs w:val="22"/>
        </w:rPr>
        <w:t xml:space="preserve">RECURSOS PRÓPRIOS, </w:t>
      </w:r>
      <w:r w:rsidRPr="000B03AC">
        <w:rPr>
          <w:rFonts w:ascii="Bookman Old Style" w:hAnsi="Bookman Old Style"/>
          <w:sz w:val="22"/>
          <w:szCs w:val="22"/>
        </w:rPr>
        <w:t>no elemento de despesa 339030 – Material de consumo.</w:t>
      </w:r>
    </w:p>
    <w:p w:rsidR="00020E99" w:rsidRPr="000B03AC" w:rsidRDefault="00020E99" w:rsidP="00020E99">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t>15 – DO EQUILÍBRIO ECONÔMICO FINANCEIRO</w:t>
      </w:r>
    </w:p>
    <w:p w:rsidR="00020E99" w:rsidRPr="000B03AC" w:rsidRDefault="00020E99" w:rsidP="00020E99">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020E99" w:rsidRPr="000B03AC" w:rsidRDefault="00020E99" w:rsidP="00020E99">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020E99" w:rsidRPr="000B03AC" w:rsidRDefault="00020E99" w:rsidP="00020E99">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15.3 – A empresa quando da entrega da fatura deverá apresentar as notas fiscais de compra do material junto ao seu fornecedor, para que seja verificado se o valor cobrado ao Município está de acordo com o percentual da proposta apresentada.</w:t>
      </w:r>
    </w:p>
    <w:p w:rsidR="00020E99" w:rsidRPr="000B03AC" w:rsidRDefault="00020E99" w:rsidP="00020E99">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020E99" w:rsidRPr="000B03AC" w:rsidRDefault="00020E99" w:rsidP="00020E99">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020E99" w:rsidRPr="000B03AC" w:rsidRDefault="00020E99" w:rsidP="00020E99">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até o dia 31 de dezembro de </w:t>
      </w:r>
      <w:r>
        <w:rPr>
          <w:rFonts w:ascii="Bookman Old Style" w:hAnsi="Bookman Old Style" w:cs="Arial"/>
          <w:sz w:val="22"/>
          <w:szCs w:val="22"/>
        </w:rPr>
        <w:t>2014</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020E99" w:rsidRPr="000B03AC" w:rsidRDefault="00020E99" w:rsidP="00020E99">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020E99" w:rsidRPr="000B03AC" w:rsidRDefault="00020E99" w:rsidP="00020E99">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020E99" w:rsidRPr="000B03AC" w:rsidRDefault="00020E99" w:rsidP="00020E99">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020E99" w:rsidRPr="000B03AC" w:rsidRDefault="00020E99" w:rsidP="00020E99">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020E99" w:rsidRPr="000B03AC" w:rsidRDefault="00020E99" w:rsidP="00020E99">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020E99" w:rsidRPr="000B03AC" w:rsidRDefault="00020E99" w:rsidP="00020E99">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lastRenderedPageBreak/>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020E99" w:rsidRPr="000B03AC" w:rsidRDefault="00020E99" w:rsidP="00020E99">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020E99" w:rsidRPr="000B03AC" w:rsidRDefault="00020E99" w:rsidP="00020E99">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020E99" w:rsidRPr="000B03AC" w:rsidRDefault="00020E99" w:rsidP="00020E99">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pelos licitantes presentes na sessão.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 e Diário Oficial dos Municípios do Piauí.</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020E99" w:rsidRPr="000B03AC" w:rsidRDefault="00020E99" w:rsidP="00020E99">
      <w:pPr>
        <w:spacing w:before="120" w:after="120"/>
        <w:ind w:right="-81"/>
        <w:jc w:val="both"/>
        <w:rPr>
          <w:rFonts w:ascii="Bookman Old Style" w:hAnsi="Bookman Old Style"/>
          <w:sz w:val="22"/>
          <w:szCs w:val="22"/>
        </w:rPr>
      </w:pPr>
      <w:r w:rsidRPr="000B03AC">
        <w:rPr>
          <w:rFonts w:ascii="Bookman Old Style" w:hAnsi="Bookman Old Style"/>
          <w:sz w:val="22"/>
          <w:szCs w:val="22"/>
        </w:rPr>
        <w:t>18.9 – Omissões, equívocos meramente formais, fatos supervenientes, conflitos ou outras situações porventura v</w:t>
      </w:r>
      <w:r>
        <w:rPr>
          <w:rFonts w:ascii="Bookman Old Style" w:hAnsi="Bookman Old Style"/>
          <w:sz w:val="22"/>
          <w:szCs w:val="22"/>
        </w:rPr>
        <w:t xml:space="preserve">ivenciadas, </w:t>
      </w:r>
      <w:proofErr w:type="gramStart"/>
      <w:r>
        <w:rPr>
          <w:rFonts w:ascii="Bookman Old Style" w:hAnsi="Bookman Old Style"/>
          <w:sz w:val="22"/>
          <w:szCs w:val="22"/>
        </w:rPr>
        <w:t>serão</w:t>
      </w:r>
      <w:proofErr w:type="gramEnd"/>
      <w:r>
        <w:rPr>
          <w:rFonts w:ascii="Bookman Old Style" w:hAnsi="Bookman Old Style"/>
          <w:sz w:val="22"/>
          <w:szCs w:val="22"/>
        </w:rPr>
        <w:t xml:space="preserve">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destinada a esclarecer ou a complementar a instrução do processo, na forma do art. 43 § 3º da Lei nº 8.666/93.</w:t>
      </w:r>
    </w:p>
    <w:p w:rsidR="00020E99" w:rsidRPr="000B03AC" w:rsidRDefault="00020E99" w:rsidP="00020E99">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020E99" w:rsidRPr="000B03AC" w:rsidRDefault="00020E99" w:rsidP="00020E99">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w:t>
      </w:r>
      <w:r w:rsidRPr="000B03AC">
        <w:rPr>
          <w:rFonts w:ascii="Bookman Old Style" w:hAnsi="Bookman Old Style"/>
          <w:sz w:val="22"/>
          <w:szCs w:val="22"/>
        </w:rPr>
        <w:lastRenderedPageBreak/>
        <w:t>necessários, em até 25% (vinte e cinco por cento) do valor inicial atualizado do contrato.</w:t>
      </w:r>
    </w:p>
    <w:p w:rsidR="00020E99" w:rsidRPr="000B03AC" w:rsidRDefault="00020E99" w:rsidP="00020E99">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020E99" w:rsidRPr="000B03AC" w:rsidRDefault="00020E99" w:rsidP="00020E99">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Santo Antônio dos Milagres</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020E99" w:rsidRPr="000B03AC" w:rsidRDefault="00020E99" w:rsidP="00020E99">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18.14 – Maiores informações poderão ser adquiridas na sede desta Prefeitura, situada na</w:t>
      </w:r>
      <w:r>
        <w:rPr>
          <w:rFonts w:ascii="Bookman Old Style" w:hAnsi="Bookman Old Style"/>
          <w:sz w:val="22"/>
          <w:szCs w:val="22"/>
        </w:rPr>
        <w:t xml:space="preserve"> Rua Luiz Gomes Vilanova, nº 55, centro,</w:t>
      </w:r>
      <w:r w:rsidRPr="000B03AC">
        <w:rPr>
          <w:rFonts w:ascii="Bookman Old Style" w:hAnsi="Bookman Old Style"/>
          <w:sz w:val="22"/>
          <w:szCs w:val="22"/>
        </w:rPr>
        <w:t xml:space="preserve"> </w:t>
      </w:r>
      <w:r>
        <w:rPr>
          <w:rFonts w:ascii="Bookman Old Style" w:hAnsi="Bookman Old Style"/>
          <w:sz w:val="22"/>
          <w:szCs w:val="22"/>
        </w:rPr>
        <w:t>Santo Antônio dos Milagres – Piauí, fone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020E99" w:rsidRDefault="00020E99" w:rsidP="00020E99">
      <w:pPr>
        <w:tabs>
          <w:tab w:val="left" w:pos="0"/>
          <w:tab w:val="left" w:pos="2269"/>
          <w:tab w:val="left" w:pos="4962"/>
        </w:tabs>
        <w:jc w:val="both"/>
        <w:rPr>
          <w:rFonts w:ascii="Bookman Old Style" w:hAnsi="Bookman Old Style"/>
          <w:sz w:val="22"/>
          <w:szCs w:val="22"/>
        </w:rPr>
      </w:pPr>
    </w:p>
    <w:p w:rsidR="00020E99" w:rsidRPr="000B03AC" w:rsidRDefault="00020E99" w:rsidP="00020E99">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07</w:t>
      </w:r>
      <w:r w:rsidRPr="000B03AC">
        <w:rPr>
          <w:rFonts w:ascii="Bookman Old Style" w:hAnsi="Bookman Old Style"/>
          <w:sz w:val="22"/>
          <w:szCs w:val="22"/>
        </w:rPr>
        <w:t xml:space="preserve"> de </w:t>
      </w:r>
      <w:r>
        <w:rPr>
          <w:rFonts w:ascii="Bookman Old Style" w:hAnsi="Bookman Old Style"/>
          <w:sz w:val="22"/>
          <w:szCs w:val="22"/>
        </w:rPr>
        <w:t>janeiro</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w:t>
      </w:r>
    </w:p>
    <w:p w:rsidR="00020E99" w:rsidRPr="000B03AC" w:rsidRDefault="00020E99" w:rsidP="00020E99">
      <w:pPr>
        <w:tabs>
          <w:tab w:val="left" w:pos="9099"/>
        </w:tabs>
        <w:ind w:right="96"/>
        <w:rPr>
          <w:rFonts w:ascii="Bookman Old Style" w:hAnsi="Bookman Old Style"/>
          <w:sz w:val="22"/>
          <w:szCs w:val="22"/>
        </w:rPr>
      </w:pPr>
    </w:p>
    <w:p w:rsidR="00020E99" w:rsidRPr="000B03AC" w:rsidRDefault="00020E99" w:rsidP="00020E99">
      <w:pPr>
        <w:tabs>
          <w:tab w:val="left" w:pos="9099"/>
        </w:tabs>
        <w:ind w:right="96"/>
        <w:rPr>
          <w:rFonts w:ascii="Bookman Old Style" w:hAnsi="Bookman Old Style"/>
          <w:sz w:val="22"/>
          <w:szCs w:val="22"/>
        </w:rPr>
      </w:pPr>
    </w:p>
    <w:p w:rsidR="00020E99" w:rsidRPr="000B03AC" w:rsidRDefault="00020E99" w:rsidP="00020E99">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020E99" w:rsidRPr="000B03AC" w:rsidRDefault="00020E99" w:rsidP="00020E99">
      <w:pPr>
        <w:tabs>
          <w:tab w:val="left" w:pos="9099"/>
        </w:tabs>
        <w:ind w:right="96"/>
        <w:rPr>
          <w:rFonts w:ascii="Bookman Old Style" w:hAnsi="Bookman Old Style"/>
          <w:sz w:val="22"/>
          <w:szCs w:val="22"/>
        </w:rPr>
      </w:pPr>
      <w:r>
        <w:rPr>
          <w:rFonts w:ascii="Bookman Old Style" w:hAnsi="Bookman Old Style"/>
          <w:sz w:val="22"/>
          <w:szCs w:val="22"/>
        </w:rPr>
        <w:t>Pregoeiro</w:t>
      </w:r>
    </w:p>
    <w:p w:rsidR="00020E99" w:rsidRPr="000B03AC" w:rsidRDefault="00020E99" w:rsidP="00020E99">
      <w:pPr>
        <w:tabs>
          <w:tab w:val="left" w:pos="9099"/>
        </w:tabs>
        <w:ind w:right="96"/>
        <w:rPr>
          <w:rFonts w:ascii="Bookman Old Style" w:hAnsi="Bookman Old Style"/>
          <w:sz w:val="22"/>
          <w:szCs w:val="22"/>
        </w:rPr>
      </w:pPr>
    </w:p>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20E99" w:rsidRDefault="00020E99" w:rsidP="00020E99"/>
    <w:p w:rsidR="00044298" w:rsidRDefault="00044298"/>
    <w:sectPr w:rsidR="00044298" w:rsidSect="00FC216B">
      <w:headerReference w:type="default" r:id="rId6"/>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2F" w:rsidRPr="00E7770E" w:rsidRDefault="00020E99" w:rsidP="00FC216B">
    <w:pPr>
      <w:pStyle w:val="Cabealho"/>
    </w:pPr>
    <w:r>
      <w:rPr>
        <w:noProof/>
      </w:rPr>
      <w:drawing>
        <wp:inline distT="0" distB="0" distL="0" distR="0" wp14:anchorId="4E7E16A7" wp14:editId="5637F01D">
          <wp:extent cx="5400675" cy="1459001"/>
          <wp:effectExtent l="19050" t="0" r="9525" b="0"/>
          <wp:docPr id="20"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98B260D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99"/>
    <w:rsid w:val="00020E99"/>
    <w:rsid w:val="00044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9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20E99"/>
    <w:pPr>
      <w:keepNext/>
      <w:jc w:val="center"/>
      <w:outlineLvl w:val="0"/>
    </w:pPr>
    <w:rPr>
      <w:b/>
      <w:bCs/>
      <w:sz w:val="30"/>
      <w:u w:val="single"/>
    </w:rPr>
  </w:style>
  <w:style w:type="paragraph" w:styleId="Ttulo2">
    <w:name w:val="heading 2"/>
    <w:basedOn w:val="Normal"/>
    <w:next w:val="Normal"/>
    <w:link w:val="Ttulo2Char"/>
    <w:unhideWhenUsed/>
    <w:qFormat/>
    <w:rsid w:val="00020E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020E99"/>
    <w:pPr>
      <w:keepNext/>
      <w:ind w:firstLine="900"/>
      <w:jc w:val="center"/>
      <w:outlineLvl w:val="2"/>
    </w:pPr>
    <w:rPr>
      <w:b/>
      <w:bCs/>
      <w:sz w:val="22"/>
    </w:rPr>
  </w:style>
  <w:style w:type="paragraph" w:styleId="Ttulo6">
    <w:name w:val="heading 6"/>
    <w:basedOn w:val="Normal"/>
    <w:next w:val="Normal"/>
    <w:link w:val="Ttulo6Char"/>
    <w:qFormat/>
    <w:rsid w:val="00020E99"/>
    <w:pPr>
      <w:spacing w:before="240" w:after="60"/>
      <w:outlineLvl w:val="5"/>
    </w:pPr>
    <w:rPr>
      <w:b/>
      <w:bCs/>
      <w:sz w:val="22"/>
      <w:szCs w:val="22"/>
    </w:rPr>
  </w:style>
  <w:style w:type="paragraph" w:styleId="Ttulo7">
    <w:name w:val="heading 7"/>
    <w:basedOn w:val="Normal"/>
    <w:next w:val="Normal"/>
    <w:link w:val="Ttulo7Char"/>
    <w:unhideWhenUsed/>
    <w:qFormat/>
    <w:rsid w:val="00020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0E99"/>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020E9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020E99"/>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020E99"/>
    <w:rPr>
      <w:rFonts w:ascii="Times New Roman" w:eastAsia="Times New Roman" w:hAnsi="Times New Roman" w:cs="Times New Roman"/>
      <w:b/>
      <w:bCs/>
      <w:lang w:eastAsia="pt-BR"/>
    </w:rPr>
  </w:style>
  <w:style w:type="character" w:customStyle="1" w:styleId="Ttulo7Char">
    <w:name w:val="Título 7 Char"/>
    <w:basedOn w:val="Fontepargpadro"/>
    <w:link w:val="Ttulo7"/>
    <w:rsid w:val="00020E99"/>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uiPriority w:val="99"/>
    <w:rsid w:val="00020E99"/>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020E99"/>
    <w:pPr>
      <w:tabs>
        <w:tab w:val="center" w:pos="4252"/>
        <w:tab w:val="right" w:pos="8504"/>
      </w:tabs>
    </w:pPr>
  </w:style>
  <w:style w:type="character" w:customStyle="1" w:styleId="CabealhoChar1">
    <w:name w:val="Cabeçalho Char1"/>
    <w:basedOn w:val="Fontepargpadro"/>
    <w:uiPriority w:val="99"/>
    <w:semiHidden/>
    <w:rsid w:val="00020E99"/>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020E99"/>
    <w:pPr>
      <w:tabs>
        <w:tab w:val="center" w:pos="4252"/>
        <w:tab w:val="right" w:pos="8504"/>
      </w:tabs>
    </w:pPr>
  </w:style>
  <w:style w:type="character" w:customStyle="1" w:styleId="RodapChar">
    <w:name w:val="Rodapé Char"/>
    <w:basedOn w:val="Fontepargpadro"/>
    <w:link w:val="Rodap"/>
    <w:uiPriority w:val="99"/>
    <w:semiHidden/>
    <w:rsid w:val="00020E9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20E99"/>
    <w:rPr>
      <w:rFonts w:ascii="Tahoma" w:hAnsi="Tahoma" w:cs="Tahoma"/>
      <w:sz w:val="16"/>
      <w:szCs w:val="16"/>
    </w:rPr>
  </w:style>
  <w:style w:type="character" w:customStyle="1" w:styleId="TextodebaloChar">
    <w:name w:val="Texto de balão Char"/>
    <w:basedOn w:val="Fontepargpadro"/>
    <w:link w:val="Textodebalo"/>
    <w:uiPriority w:val="99"/>
    <w:semiHidden/>
    <w:rsid w:val="00020E99"/>
    <w:rPr>
      <w:rFonts w:ascii="Tahoma" w:eastAsia="Times New Roman" w:hAnsi="Tahoma" w:cs="Tahoma"/>
      <w:sz w:val="16"/>
      <w:szCs w:val="16"/>
      <w:lang w:eastAsia="pt-BR"/>
    </w:rPr>
  </w:style>
  <w:style w:type="paragraph" w:styleId="Recuodecorpodetexto">
    <w:name w:val="Body Text Indent"/>
    <w:basedOn w:val="Normal"/>
    <w:link w:val="RecuodecorpodetextoChar"/>
    <w:rsid w:val="00020E99"/>
    <w:pPr>
      <w:ind w:firstLine="540"/>
      <w:jc w:val="both"/>
    </w:pPr>
    <w:rPr>
      <w:sz w:val="24"/>
      <w:szCs w:val="24"/>
    </w:rPr>
  </w:style>
  <w:style w:type="character" w:customStyle="1" w:styleId="RecuodecorpodetextoChar">
    <w:name w:val="Recuo de corpo de texto Char"/>
    <w:basedOn w:val="Fontepargpadro"/>
    <w:link w:val="Recuodecorpodetexto"/>
    <w:rsid w:val="00020E9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20E99"/>
    <w:pPr>
      <w:spacing w:after="120"/>
    </w:pPr>
  </w:style>
  <w:style w:type="character" w:customStyle="1" w:styleId="CorpodetextoChar">
    <w:name w:val="Corpo de texto Char"/>
    <w:basedOn w:val="Fontepargpadro"/>
    <w:link w:val="Corpodetexto"/>
    <w:rsid w:val="00020E99"/>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020E99"/>
    <w:pPr>
      <w:spacing w:after="120" w:line="480" w:lineRule="auto"/>
    </w:pPr>
  </w:style>
  <w:style w:type="character" w:customStyle="1" w:styleId="Corpodetexto2Char">
    <w:name w:val="Corpo de texto 2 Char"/>
    <w:basedOn w:val="Fontepargpadro"/>
    <w:link w:val="Corpodetexto2"/>
    <w:rsid w:val="00020E9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020E99"/>
    <w:pPr>
      <w:spacing w:after="120" w:line="480" w:lineRule="auto"/>
      <w:ind w:left="283"/>
    </w:pPr>
  </w:style>
  <w:style w:type="character" w:customStyle="1" w:styleId="Recuodecorpodetexto2Char">
    <w:name w:val="Recuo de corpo de texto 2 Char"/>
    <w:basedOn w:val="Fontepargpadro"/>
    <w:link w:val="Recuodecorpodetexto2"/>
    <w:rsid w:val="00020E99"/>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020E99"/>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020E99"/>
    <w:pPr>
      <w:spacing w:after="120"/>
    </w:pPr>
    <w:rPr>
      <w:sz w:val="16"/>
      <w:szCs w:val="16"/>
    </w:rPr>
  </w:style>
  <w:style w:type="character" w:customStyle="1" w:styleId="Corpodetexto3Char1">
    <w:name w:val="Corpo de texto 3 Char1"/>
    <w:basedOn w:val="Fontepargpadro"/>
    <w:uiPriority w:val="99"/>
    <w:semiHidden/>
    <w:rsid w:val="00020E99"/>
    <w:rPr>
      <w:rFonts w:ascii="Times New Roman" w:eastAsia="Times New Roman" w:hAnsi="Times New Roman" w:cs="Times New Roman"/>
      <w:sz w:val="16"/>
      <w:szCs w:val="16"/>
      <w:lang w:eastAsia="pt-BR"/>
    </w:rPr>
  </w:style>
  <w:style w:type="paragraph" w:styleId="NormalWeb">
    <w:name w:val="Normal (Web)"/>
    <w:basedOn w:val="Normal"/>
    <w:rsid w:val="00020E99"/>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020E99"/>
    <w:rPr>
      <w:b/>
      <w:bCs/>
    </w:rPr>
  </w:style>
  <w:style w:type="paragraph" w:customStyle="1" w:styleId="gem1Char">
    <w:name w:val="gem1 Char"/>
    <w:basedOn w:val="Normal"/>
    <w:rsid w:val="00020E99"/>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020E99"/>
    <w:pPr>
      <w:tabs>
        <w:tab w:val="num" w:pos="0"/>
        <w:tab w:val="num" w:pos="360"/>
      </w:tabs>
      <w:jc w:val="both"/>
    </w:pPr>
    <w:rPr>
      <w:sz w:val="24"/>
      <w:szCs w:val="24"/>
    </w:rPr>
  </w:style>
  <w:style w:type="paragraph" w:styleId="PargrafodaLista">
    <w:name w:val="List Paragraph"/>
    <w:basedOn w:val="Normal"/>
    <w:qFormat/>
    <w:rsid w:val="00020E99"/>
    <w:pPr>
      <w:ind w:left="720"/>
      <w:contextualSpacing/>
    </w:pPr>
    <w:rPr>
      <w:sz w:val="24"/>
      <w:szCs w:val="24"/>
    </w:rPr>
  </w:style>
  <w:style w:type="paragraph" w:styleId="Ttulo">
    <w:name w:val="Title"/>
    <w:basedOn w:val="Normal"/>
    <w:link w:val="TtuloChar"/>
    <w:qFormat/>
    <w:rsid w:val="00020E99"/>
    <w:pPr>
      <w:tabs>
        <w:tab w:val="left" w:pos="851"/>
        <w:tab w:val="left" w:pos="1560"/>
      </w:tabs>
      <w:spacing w:before="120" w:after="120"/>
      <w:ind w:right="-91"/>
      <w:jc w:val="center"/>
    </w:pPr>
    <w:rPr>
      <w:rFonts w:ascii="Bookman Old Style" w:hAnsi="Bookman Old Style"/>
      <w:b/>
      <w:color w:val="000000"/>
      <w:sz w:val="18"/>
    </w:rPr>
  </w:style>
  <w:style w:type="character" w:customStyle="1" w:styleId="TtuloChar">
    <w:name w:val="Título Char"/>
    <w:basedOn w:val="Fontepargpadro"/>
    <w:link w:val="Ttulo"/>
    <w:rsid w:val="00020E99"/>
    <w:rPr>
      <w:rFonts w:ascii="Bookman Old Style" w:eastAsia="Times New Roman" w:hAnsi="Bookman Old Style" w:cs="Times New Roman"/>
      <w:b/>
      <w:color w:val="000000"/>
      <w:sz w:val="1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9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20E99"/>
    <w:pPr>
      <w:keepNext/>
      <w:jc w:val="center"/>
      <w:outlineLvl w:val="0"/>
    </w:pPr>
    <w:rPr>
      <w:b/>
      <w:bCs/>
      <w:sz w:val="30"/>
      <w:u w:val="single"/>
    </w:rPr>
  </w:style>
  <w:style w:type="paragraph" w:styleId="Ttulo2">
    <w:name w:val="heading 2"/>
    <w:basedOn w:val="Normal"/>
    <w:next w:val="Normal"/>
    <w:link w:val="Ttulo2Char"/>
    <w:unhideWhenUsed/>
    <w:qFormat/>
    <w:rsid w:val="00020E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020E99"/>
    <w:pPr>
      <w:keepNext/>
      <w:ind w:firstLine="900"/>
      <w:jc w:val="center"/>
      <w:outlineLvl w:val="2"/>
    </w:pPr>
    <w:rPr>
      <w:b/>
      <w:bCs/>
      <w:sz w:val="22"/>
    </w:rPr>
  </w:style>
  <w:style w:type="paragraph" w:styleId="Ttulo6">
    <w:name w:val="heading 6"/>
    <w:basedOn w:val="Normal"/>
    <w:next w:val="Normal"/>
    <w:link w:val="Ttulo6Char"/>
    <w:qFormat/>
    <w:rsid w:val="00020E99"/>
    <w:pPr>
      <w:spacing w:before="240" w:after="60"/>
      <w:outlineLvl w:val="5"/>
    </w:pPr>
    <w:rPr>
      <w:b/>
      <w:bCs/>
      <w:sz w:val="22"/>
      <w:szCs w:val="22"/>
    </w:rPr>
  </w:style>
  <w:style w:type="paragraph" w:styleId="Ttulo7">
    <w:name w:val="heading 7"/>
    <w:basedOn w:val="Normal"/>
    <w:next w:val="Normal"/>
    <w:link w:val="Ttulo7Char"/>
    <w:unhideWhenUsed/>
    <w:qFormat/>
    <w:rsid w:val="00020E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0E99"/>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020E9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020E99"/>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020E99"/>
    <w:rPr>
      <w:rFonts w:ascii="Times New Roman" w:eastAsia="Times New Roman" w:hAnsi="Times New Roman" w:cs="Times New Roman"/>
      <w:b/>
      <w:bCs/>
      <w:lang w:eastAsia="pt-BR"/>
    </w:rPr>
  </w:style>
  <w:style w:type="character" w:customStyle="1" w:styleId="Ttulo7Char">
    <w:name w:val="Título 7 Char"/>
    <w:basedOn w:val="Fontepargpadro"/>
    <w:link w:val="Ttulo7"/>
    <w:rsid w:val="00020E99"/>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uiPriority w:val="99"/>
    <w:rsid w:val="00020E99"/>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020E99"/>
    <w:pPr>
      <w:tabs>
        <w:tab w:val="center" w:pos="4252"/>
        <w:tab w:val="right" w:pos="8504"/>
      </w:tabs>
    </w:pPr>
  </w:style>
  <w:style w:type="character" w:customStyle="1" w:styleId="CabealhoChar1">
    <w:name w:val="Cabeçalho Char1"/>
    <w:basedOn w:val="Fontepargpadro"/>
    <w:uiPriority w:val="99"/>
    <w:semiHidden/>
    <w:rsid w:val="00020E99"/>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020E99"/>
    <w:pPr>
      <w:tabs>
        <w:tab w:val="center" w:pos="4252"/>
        <w:tab w:val="right" w:pos="8504"/>
      </w:tabs>
    </w:pPr>
  </w:style>
  <w:style w:type="character" w:customStyle="1" w:styleId="RodapChar">
    <w:name w:val="Rodapé Char"/>
    <w:basedOn w:val="Fontepargpadro"/>
    <w:link w:val="Rodap"/>
    <w:uiPriority w:val="99"/>
    <w:semiHidden/>
    <w:rsid w:val="00020E9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20E99"/>
    <w:rPr>
      <w:rFonts w:ascii="Tahoma" w:hAnsi="Tahoma" w:cs="Tahoma"/>
      <w:sz w:val="16"/>
      <w:szCs w:val="16"/>
    </w:rPr>
  </w:style>
  <w:style w:type="character" w:customStyle="1" w:styleId="TextodebaloChar">
    <w:name w:val="Texto de balão Char"/>
    <w:basedOn w:val="Fontepargpadro"/>
    <w:link w:val="Textodebalo"/>
    <w:uiPriority w:val="99"/>
    <w:semiHidden/>
    <w:rsid w:val="00020E99"/>
    <w:rPr>
      <w:rFonts w:ascii="Tahoma" w:eastAsia="Times New Roman" w:hAnsi="Tahoma" w:cs="Tahoma"/>
      <w:sz w:val="16"/>
      <w:szCs w:val="16"/>
      <w:lang w:eastAsia="pt-BR"/>
    </w:rPr>
  </w:style>
  <w:style w:type="paragraph" w:styleId="Recuodecorpodetexto">
    <w:name w:val="Body Text Indent"/>
    <w:basedOn w:val="Normal"/>
    <w:link w:val="RecuodecorpodetextoChar"/>
    <w:rsid w:val="00020E99"/>
    <w:pPr>
      <w:ind w:firstLine="540"/>
      <w:jc w:val="both"/>
    </w:pPr>
    <w:rPr>
      <w:sz w:val="24"/>
      <w:szCs w:val="24"/>
    </w:rPr>
  </w:style>
  <w:style w:type="character" w:customStyle="1" w:styleId="RecuodecorpodetextoChar">
    <w:name w:val="Recuo de corpo de texto Char"/>
    <w:basedOn w:val="Fontepargpadro"/>
    <w:link w:val="Recuodecorpodetexto"/>
    <w:rsid w:val="00020E9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020E99"/>
    <w:pPr>
      <w:spacing w:after="120"/>
    </w:pPr>
  </w:style>
  <w:style w:type="character" w:customStyle="1" w:styleId="CorpodetextoChar">
    <w:name w:val="Corpo de texto Char"/>
    <w:basedOn w:val="Fontepargpadro"/>
    <w:link w:val="Corpodetexto"/>
    <w:rsid w:val="00020E99"/>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020E99"/>
    <w:pPr>
      <w:spacing w:after="120" w:line="480" w:lineRule="auto"/>
    </w:pPr>
  </w:style>
  <w:style w:type="character" w:customStyle="1" w:styleId="Corpodetexto2Char">
    <w:name w:val="Corpo de texto 2 Char"/>
    <w:basedOn w:val="Fontepargpadro"/>
    <w:link w:val="Corpodetexto2"/>
    <w:rsid w:val="00020E9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020E99"/>
    <w:pPr>
      <w:spacing w:after="120" w:line="480" w:lineRule="auto"/>
      <w:ind w:left="283"/>
    </w:pPr>
  </w:style>
  <w:style w:type="character" w:customStyle="1" w:styleId="Recuodecorpodetexto2Char">
    <w:name w:val="Recuo de corpo de texto 2 Char"/>
    <w:basedOn w:val="Fontepargpadro"/>
    <w:link w:val="Recuodecorpodetexto2"/>
    <w:rsid w:val="00020E99"/>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020E99"/>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020E99"/>
    <w:pPr>
      <w:spacing w:after="120"/>
    </w:pPr>
    <w:rPr>
      <w:sz w:val="16"/>
      <w:szCs w:val="16"/>
    </w:rPr>
  </w:style>
  <w:style w:type="character" w:customStyle="1" w:styleId="Corpodetexto3Char1">
    <w:name w:val="Corpo de texto 3 Char1"/>
    <w:basedOn w:val="Fontepargpadro"/>
    <w:uiPriority w:val="99"/>
    <w:semiHidden/>
    <w:rsid w:val="00020E99"/>
    <w:rPr>
      <w:rFonts w:ascii="Times New Roman" w:eastAsia="Times New Roman" w:hAnsi="Times New Roman" w:cs="Times New Roman"/>
      <w:sz w:val="16"/>
      <w:szCs w:val="16"/>
      <w:lang w:eastAsia="pt-BR"/>
    </w:rPr>
  </w:style>
  <w:style w:type="paragraph" w:styleId="NormalWeb">
    <w:name w:val="Normal (Web)"/>
    <w:basedOn w:val="Normal"/>
    <w:rsid w:val="00020E99"/>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020E99"/>
    <w:rPr>
      <w:b/>
      <w:bCs/>
    </w:rPr>
  </w:style>
  <w:style w:type="paragraph" w:customStyle="1" w:styleId="gem1Char">
    <w:name w:val="gem1 Char"/>
    <w:basedOn w:val="Normal"/>
    <w:rsid w:val="00020E99"/>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020E99"/>
    <w:pPr>
      <w:tabs>
        <w:tab w:val="num" w:pos="0"/>
        <w:tab w:val="num" w:pos="360"/>
      </w:tabs>
      <w:jc w:val="both"/>
    </w:pPr>
    <w:rPr>
      <w:sz w:val="24"/>
      <w:szCs w:val="24"/>
    </w:rPr>
  </w:style>
  <w:style w:type="paragraph" w:styleId="PargrafodaLista">
    <w:name w:val="List Paragraph"/>
    <w:basedOn w:val="Normal"/>
    <w:qFormat/>
    <w:rsid w:val="00020E99"/>
    <w:pPr>
      <w:ind w:left="720"/>
      <w:contextualSpacing/>
    </w:pPr>
    <w:rPr>
      <w:sz w:val="24"/>
      <w:szCs w:val="24"/>
    </w:rPr>
  </w:style>
  <w:style w:type="paragraph" w:styleId="Ttulo">
    <w:name w:val="Title"/>
    <w:basedOn w:val="Normal"/>
    <w:link w:val="TtuloChar"/>
    <w:qFormat/>
    <w:rsid w:val="00020E99"/>
    <w:pPr>
      <w:tabs>
        <w:tab w:val="left" w:pos="851"/>
        <w:tab w:val="left" w:pos="1560"/>
      </w:tabs>
      <w:spacing w:before="120" w:after="120"/>
      <w:ind w:right="-91"/>
      <w:jc w:val="center"/>
    </w:pPr>
    <w:rPr>
      <w:rFonts w:ascii="Bookman Old Style" w:hAnsi="Bookman Old Style"/>
      <w:b/>
      <w:color w:val="000000"/>
      <w:sz w:val="18"/>
    </w:rPr>
  </w:style>
  <w:style w:type="character" w:customStyle="1" w:styleId="TtuloChar">
    <w:name w:val="Título Char"/>
    <w:basedOn w:val="Fontepargpadro"/>
    <w:link w:val="Ttulo"/>
    <w:rsid w:val="00020E99"/>
    <w:rPr>
      <w:rFonts w:ascii="Bookman Old Style" w:eastAsia="Times New Roman" w:hAnsi="Bookman Old Style" w:cs="Times New Roman"/>
      <w:b/>
      <w:color w:val="000000"/>
      <w:sz w:val="1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4728</Words>
  <Characters>25536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2014-01-17T20:30:00Z</dcterms:created>
  <dcterms:modified xsi:type="dcterms:W3CDTF">2014-01-17T20:32:00Z</dcterms:modified>
</cp:coreProperties>
</file>